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200DD932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5A05FD">
        <w:rPr>
          <w:sz w:val="24"/>
          <w:szCs w:val="24"/>
        </w:rPr>
        <w:t>Radomiu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 xml:space="preserve">mowa w art. </w:t>
      </w:r>
      <w:proofErr w:type="spellStart"/>
      <w:r w:rsidRPr="009E4DC7">
        <w:rPr>
          <w:bCs/>
          <w:sz w:val="24"/>
          <w:szCs w:val="24"/>
        </w:rPr>
        <w:t>20h</w:t>
      </w:r>
      <w:proofErr w:type="spellEnd"/>
      <w:r w:rsidRPr="009E4DC7">
        <w:rPr>
          <w:bCs/>
          <w:sz w:val="24"/>
          <w:szCs w:val="24"/>
        </w:rPr>
        <w:t xml:space="preserve">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47708B"/>
    <w:rsid w:val="0055233D"/>
    <w:rsid w:val="005A05F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gmina</cp:lastModifiedBy>
  <cp:revision>2</cp:revision>
  <cp:lastPrinted>2025-01-07T09:31:00Z</cp:lastPrinted>
  <dcterms:created xsi:type="dcterms:W3CDTF">2025-02-19T13:08:00Z</dcterms:created>
  <dcterms:modified xsi:type="dcterms:W3CDTF">2025-02-19T13:08:00Z</dcterms:modified>
</cp:coreProperties>
</file>